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1BC" w:rsidRDefault="00453576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bookmarkStart w:id="0" w:name="_GoBack"/>
      <w:r>
        <w:rPr>
          <w:b/>
          <w:color w:val="365F91" w:themeColor="accent1" w:themeShade="BF"/>
          <w:sz w:val="26"/>
          <w:szCs w:val="26"/>
        </w:rPr>
        <w:t>7</w:t>
      </w:r>
      <w:r w:rsidR="001A5763">
        <w:rPr>
          <w:b/>
          <w:color w:val="365F91" w:themeColor="accent1" w:themeShade="BF"/>
          <w:sz w:val="26"/>
          <w:szCs w:val="26"/>
        </w:rPr>
        <w:t xml:space="preserve">. pielikums </w:t>
      </w:r>
    </w:p>
    <w:p w:rsidR="009C1302" w:rsidRDefault="00B178CF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r w:rsidRPr="00B178CF">
        <w:rPr>
          <w:b/>
          <w:color w:val="365F91" w:themeColor="accent1" w:themeShade="BF"/>
          <w:sz w:val="26"/>
          <w:szCs w:val="26"/>
        </w:rPr>
        <w:t xml:space="preserve">Sociāli-ekonomiskās ieguvumu analīzes </w:t>
      </w:r>
      <w:r w:rsidR="001C3A29">
        <w:rPr>
          <w:b/>
          <w:color w:val="365F91" w:themeColor="accent1" w:themeShade="BF"/>
          <w:sz w:val="26"/>
          <w:szCs w:val="26"/>
        </w:rPr>
        <w:t>aprēķini</w:t>
      </w:r>
    </w:p>
    <w:p w:rsidR="00543B51" w:rsidRDefault="002D6E3E" w:rsidP="00543B51">
      <w:pPr>
        <w:pStyle w:val="Bezatstarpm"/>
      </w:pPr>
      <w:r>
        <w:t xml:space="preserve">Vadlīnijas </w:t>
      </w:r>
      <w:r w:rsidRPr="00C9572D">
        <w:rPr>
          <w:i/>
        </w:rPr>
        <w:t>Excel</w:t>
      </w:r>
      <w:r>
        <w:t xml:space="preserve"> pielikuma lasīšanai.</w:t>
      </w:r>
    </w:p>
    <w:p w:rsidR="002D6E3E" w:rsidRDefault="002D6E3E" w:rsidP="00543B51">
      <w:pPr>
        <w:pStyle w:val="Bezatstarpm"/>
      </w:pPr>
    </w:p>
    <w:p w:rsidR="00FC53BA" w:rsidRDefault="00FC53BA" w:rsidP="00543B51">
      <w:pPr>
        <w:pStyle w:val="Bezatstarpm"/>
      </w:pPr>
      <w:r>
        <w:t>Aprēķina lapas iedalītas trīs apakšgrupās:</w:t>
      </w:r>
    </w:p>
    <w:p w:rsidR="00543B51" w:rsidRDefault="00543B51" w:rsidP="00FC53BA">
      <w:pPr>
        <w:pStyle w:val="Bezatstarpm"/>
        <w:numPr>
          <w:ilvl w:val="0"/>
          <w:numId w:val="4"/>
        </w:numPr>
      </w:pPr>
      <w:r>
        <w:t>Lapas ar ievades informāciju atzīmētas ar rādītāju I</w:t>
      </w:r>
      <w:r w:rsidR="002D6E3E">
        <w:t>;</w:t>
      </w:r>
    </w:p>
    <w:p w:rsidR="00543B51" w:rsidRDefault="00543B51" w:rsidP="00FC53BA">
      <w:pPr>
        <w:pStyle w:val="Bezatstarpm"/>
        <w:numPr>
          <w:ilvl w:val="0"/>
          <w:numId w:val="4"/>
        </w:numPr>
      </w:pPr>
      <w:r>
        <w:t>Lapas ar aprēķina informāciju apzīmētas ar rādītāju A</w:t>
      </w:r>
      <w:r w:rsidR="002D6E3E">
        <w:t>;</w:t>
      </w:r>
    </w:p>
    <w:p w:rsidR="00543B51" w:rsidRDefault="00543B51" w:rsidP="00FC53BA">
      <w:pPr>
        <w:pStyle w:val="Bezatstarpm"/>
        <w:numPr>
          <w:ilvl w:val="0"/>
          <w:numId w:val="4"/>
        </w:numPr>
      </w:pPr>
      <w:r>
        <w:t>Lapas ar rezultāta informāciju apzīmētas ar rādītāju R</w:t>
      </w:r>
      <w:r w:rsidR="002D6E3E">
        <w:t>.</w:t>
      </w:r>
    </w:p>
    <w:p w:rsidR="002D6E3E" w:rsidRDefault="002D6E3E" w:rsidP="002D6E3E">
      <w:pPr>
        <w:pStyle w:val="Bezatstarpm"/>
        <w:ind w:left="720"/>
      </w:pPr>
    </w:p>
    <w:p w:rsidR="00FC53BA" w:rsidRDefault="00FC53BA" w:rsidP="00FC53BA">
      <w:pPr>
        <w:pStyle w:val="Bezatstarpm"/>
      </w:pPr>
      <w:proofErr w:type="spellStart"/>
      <w:r>
        <w:t>Detālāka</w:t>
      </w:r>
      <w:proofErr w:type="spellEnd"/>
      <w:r>
        <w:t xml:space="preserve"> informācija par </w:t>
      </w:r>
      <w:r w:rsidR="002D6E3E" w:rsidRPr="00C9572D">
        <w:rPr>
          <w:i/>
        </w:rPr>
        <w:t>Excel</w:t>
      </w:r>
      <w:r w:rsidR="002D6E3E">
        <w:t xml:space="preserve"> datnēs iekļautajām aprēķinu lapām</w:t>
      </w:r>
      <w:r>
        <w:t>:</w:t>
      </w:r>
    </w:p>
    <w:p w:rsidR="00FC53BA" w:rsidRPr="00FC53BA" w:rsidRDefault="00FC53BA" w:rsidP="00FC53BA">
      <w:pPr>
        <w:pStyle w:val="Bezatstarpm"/>
        <w:numPr>
          <w:ilvl w:val="0"/>
          <w:numId w:val="5"/>
        </w:numPr>
      </w:pPr>
      <w:r>
        <w:t>Ievades informācija:</w:t>
      </w:r>
    </w:p>
    <w:p w:rsidR="00FC53BA" w:rsidRDefault="00FC53BA" w:rsidP="00FC53BA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FC53BA">
        <w:t>I-Investīcijas</w:t>
      </w:r>
      <w:r>
        <w:t>”</w:t>
      </w:r>
      <w:r w:rsidR="002D6E3E">
        <w:t>: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>Uzrādītas kopējās investīcijas un sadalījums pa aktivitātēm un finansētājiem;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 xml:space="preserve">Sadalītas investīcijas Būvdarbos un Iekārtās. Sadalījums nepieciešams, lai varētu novērtēt investīcijas ekonomiskās cenās. Aprēķinos pieņemts, ka rekonstrukcijas darbos 100% </w:t>
      </w:r>
      <w:r w:rsidR="002D6E3E">
        <w:t>ir būvdarbi</w:t>
      </w:r>
      <w:r>
        <w:t>, bet daudzfunkcionālo c</w:t>
      </w:r>
      <w:r w:rsidR="002D6E3E">
        <w:t>entru investīcijās 97% ir būvdarbi, bet 3% ir iekārtas</w:t>
      </w:r>
      <w:r>
        <w:t>;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>Sadalītas investīcijas Darba apmaksā un Materiālos.</w:t>
      </w:r>
      <w:r w:rsidRPr="00FC53BA">
        <w:t xml:space="preserve"> </w:t>
      </w:r>
      <w:r>
        <w:t xml:space="preserve">Sadalījums nepieciešams, lai varētu novērtēt investīcijas ekonomiskās cenās. Parasti </w:t>
      </w:r>
      <w:r w:rsidR="002D6E3E">
        <w:t xml:space="preserve">būvniecības projektos 20% no būvdarbiem </w:t>
      </w:r>
      <w:r>
        <w:t>tiek novirzīts algu fondam, bet rekonstrukciju gadījumā algu fonds sastāda līdz 40%;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>Aprēķināts no investīcijām samaksātais neto darba algās (ekonomisko ieguvumu aprēķinam). Novirzītās investīcijas ekonomisko ieguvumu noteikšanai;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>Aprēķinātas investīcijas ekonomiskās cenās (ekonomisko izdevumu aprēķinam).</w:t>
      </w:r>
    </w:p>
    <w:p w:rsidR="00FC53BA" w:rsidRDefault="00FC53BA" w:rsidP="00FC53BA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FC53BA">
        <w:t>I-Reizinātāji</w:t>
      </w:r>
      <w:r>
        <w:t>”</w:t>
      </w:r>
      <w:r w:rsidR="00A92359">
        <w:t xml:space="preserve"> parādīti </w:t>
      </w:r>
      <w:r w:rsidR="002D6E3E">
        <w:t xml:space="preserve">Izpildītāja aprēķinātie </w:t>
      </w:r>
      <w:r w:rsidR="009A79F3">
        <w:t>reizinātāji</w:t>
      </w:r>
      <w:r w:rsidR="00A92359">
        <w:t xml:space="preserve"> (multip</w:t>
      </w:r>
      <w:r w:rsidR="002D6E3E">
        <w:t>likatori) atbilstoši Centrālās statistikas pārvaldes sniegtajiem datiem, ar kuriem tiek veikt</w:t>
      </w:r>
      <w:r w:rsidR="00A92359">
        <w:t>s tiešās un netiešās ietekmes novērtējums</w:t>
      </w:r>
      <w:r w:rsidR="009A79F3">
        <w:t xml:space="preserve"> no tūrisma un investīcijām</w:t>
      </w:r>
      <w:r w:rsidR="002D6E3E">
        <w:t>:</w:t>
      </w:r>
    </w:p>
    <w:p w:rsidR="00FC53BA" w:rsidRDefault="002D6E3E" w:rsidP="00FC53BA">
      <w:pPr>
        <w:pStyle w:val="Bezatstarpm"/>
        <w:numPr>
          <w:ilvl w:val="2"/>
          <w:numId w:val="5"/>
        </w:numPr>
      </w:pPr>
      <w:r>
        <w:t>N</w:t>
      </w:r>
      <w:r w:rsidR="009A79F3">
        <w:t>ozarei "Būvniecība" a</w:t>
      </w:r>
      <w:r w:rsidR="00FC53BA">
        <w:t xml:space="preserve">prēķinātais reizinātājs Investīciju izraisītai ietekmei </w:t>
      </w:r>
      <w:r w:rsidR="009A79F3">
        <w:t xml:space="preserve">ir </w:t>
      </w:r>
      <w:r w:rsidR="00694A46">
        <w:t>2,16</w:t>
      </w:r>
      <w:r w:rsidR="009A79F3">
        <w:t xml:space="preserve"> </w:t>
      </w:r>
      <w:r w:rsidR="00FC53BA">
        <w:t xml:space="preserve">(tiešai </w:t>
      </w:r>
      <w:r>
        <w:t xml:space="preserve">ietekmei </w:t>
      </w:r>
      <w:r w:rsidR="00FC53BA">
        <w:t xml:space="preserve">1,00, bet netiešai ietekmei </w:t>
      </w:r>
      <w:r>
        <w:t xml:space="preserve">- </w:t>
      </w:r>
      <w:r w:rsidR="00694A46">
        <w:t>1,16</w:t>
      </w:r>
      <w:r w:rsidR="00FC53BA">
        <w:t>)</w:t>
      </w:r>
      <w:r w:rsidR="009A79F3">
        <w:t>;</w:t>
      </w:r>
    </w:p>
    <w:p w:rsidR="00FC53BA" w:rsidRDefault="00FC53BA" w:rsidP="00FC53BA">
      <w:pPr>
        <w:pStyle w:val="Bezatstarpm"/>
        <w:numPr>
          <w:ilvl w:val="2"/>
          <w:numId w:val="5"/>
        </w:numPr>
      </w:pPr>
      <w:r>
        <w:t xml:space="preserve">Tūrisma izraisītai ietekmei izmantots nozares "Izmitināšana un ēdināšanas pakalpojumi" </w:t>
      </w:r>
      <w:r w:rsidR="00BB7BCB">
        <w:t xml:space="preserve">aprēķinātais </w:t>
      </w:r>
      <w:r>
        <w:t>reizinātājs</w:t>
      </w:r>
      <w:r w:rsidR="009A79F3">
        <w:t xml:space="preserve"> </w:t>
      </w:r>
      <w:r w:rsidR="00694A46">
        <w:t>1,76</w:t>
      </w:r>
      <w:r w:rsidR="00BB7BCB">
        <w:t xml:space="preserve">, kur tiešā ietekme ir 1,00, bet netiešā ietekme – </w:t>
      </w:r>
      <w:r w:rsidR="00694A46">
        <w:t>0,76</w:t>
      </w:r>
      <w:r w:rsidR="00BB7BCB">
        <w:t>.</w:t>
      </w:r>
    </w:p>
    <w:p w:rsidR="00BB7BCB" w:rsidRDefault="00BB7BCB" w:rsidP="00BB7BCB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BB7BCB">
        <w:t>I-Makroekonomiskie pieņēmumi</w:t>
      </w:r>
      <w:r>
        <w:t>”</w:t>
      </w:r>
      <w:r w:rsidR="002D6E3E">
        <w:t>: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Uzrādīti dati atbilstoši Centrālās statistikas pārvaldes datu bāzei</w:t>
      </w:r>
      <w:r w:rsidR="002D6E3E">
        <w:t>;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Makroekonomiskās vērtības attiecina uz:</w:t>
      </w:r>
    </w:p>
    <w:p w:rsidR="00BB7BCB" w:rsidRDefault="00BB7BCB" w:rsidP="00BB7BCB">
      <w:pPr>
        <w:pStyle w:val="Bezatstarpm"/>
        <w:numPr>
          <w:ilvl w:val="3"/>
          <w:numId w:val="6"/>
        </w:numPr>
      </w:pPr>
      <w:r>
        <w:t xml:space="preserve">* </w:t>
      </w:r>
      <w:r w:rsidR="002D6E3E">
        <w:t>patēriņa cenu (PC)</w:t>
      </w:r>
      <w:r>
        <w:t xml:space="preserve"> indeksu "Uzturēšanas izdevum</w:t>
      </w:r>
      <w:r w:rsidR="002D6E3E">
        <w:t>u</w:t>
      </w:r>
      <w:r>
        <w:t>" korekcijai uz 2018.gada cenām</w:t>
      </w:r>
      <w:r w:rsidR="002D6E3E">
        <w:t>;</w:t>
      </w:r>
    </w:p>
    <w:p w:rsidR="00BB7BCB" w:rsidRDefault="00BB7BCB" w:rsidP="00BB7BCB">
      <w:pPr>
        <w:pStyle w:val="Bezatstarpm"/>
        <w:numPr>
          <w:ilvl w:val="3"/>
          <w:numId w:val="6"/>
        </w:numPr>
      </w:pPr>
      <w:r>
        <w:t xml:space="preserve">* </w:t>
      </w:r>
      <w:r w:rsidR="002D6E3E">
        <w:t>darba algu (</w:t>
      </w:r>
      <w:r>
        <w:t>DA</w:t>
      </w:r>
      <w:r w:rsidR="002D6E3E">
        <w:t>)</w:t>
      </w:r>
      <w:r>
        <w:t xml:space="preserve"> indeksu "Nodarbinātības ietekme</w:t>
      </w:r>
      <w:r w:rsidR="002D6E3E">
        <w:t>s</w:t>
      </w:r>
      <w:r>
        <w:t>" un "Personāla izmaksu" korekcijai uz 2018.gada cenām</w:t>
      </w:r>
      <w:r w:rsidR="002D6E3E">
        <w:t>;</w:t>
      </w:r>
    </w:p>
    <w:p w:rsidR="00BB7BCB" w:rsidRDefault="00BB7BCB" w:rsidP="00BB7BCB">
      <w:pPr>
        <w:pStyle w:val="Bezatstarpm"/>
        <w:numPr>
          <w:ilvl w:val="3"/>
          <w:numId w:val="6"/>
        </w:numPr>
      </w:pPr>
      <w:r>
        <w:t xml:space="preserve">* </w:t>
      </w:r>
      <w:r w:rsidR="002D6E3E">
        <w:t>iekšzemes kopprodukta (</w:t>
      </w:r>
      <w:r>
        <w:t>IKP</w:t>
      </w:r>
      <w:r w:rsidR="002D6E3E">
        <w:t>)</w:t>
      </w:r>
      <w:r>
        <w:t xml:space="preserve"> indeksu "Ieguvum</w:t>
      </w:r>
      <w:r w:rsidR="002D6E3E">
        <w:t>u</w:t>
      </w:r>
      <w:r>
        <w:t xml:space="preserve"> no tūrisma" korekcijai uz 2018.gada cenām</w:t>
      </w:r>
      <w:r w:rsidR="002D6E3E">
        <w:t>;</w:t>
      </w:r>
    </w:p>
    <w:p w:rsidR="00BB7BCB" w:rsidRDefault="00BB7BCB" w:rsidP="00BB7BCB">
      <w:pPr>
        <w:pStyle w:val="Bezatstarpm"/>
        <w:numPr>
          <w:ilvl w:val="3"/>
          <w:numId w:val="6"/>
        </w:numPr>
      </w:pPr>
      <w:r>
        <w:t xml:space="preserve">* </w:t>
      </w:r>
      <w:r w:rsidR="002D6E3E">
        <w:t>pamatkapitāla (</w:t>
      </w:r>
      <w:r>
        <w:t>PK</w:t>
      </w:r>
      <w:r w:rsidR="002D6E3E">
        <w:t>)</w:t>
      </w:r>
      <w:r>
        <w:t xml:space="preserve"> indeksu "Investīciju apjoms ekonomiskajās cenās" korekcijai uz 2017.gada cenām</w:t>
      </w:r>
      <w:r w:rsidR="002D6E3E">
        <w:t>.</w:t>
      </w:r>
    </w:p>
    <w:p w:rsidR="00BB7BCB" w:rsidRDefault="00BB7BCB" w:rsidP="00BB7BCB">
      <w:pPr>
        <w:pStyle w:val="Bezatstarpm"/>
        <w:ind w:left="2160"/>
      </w:pPr>
      <w:r>
        <w:lastRenderedPageBreak/>
        <w:t xml:space="preserve">Aprēķinu </w:t>
      </w:r>
      <w:r w:rsidR="009A79F3">
        <w:t xml:space="preserve">ekonomiskie </w:t>
      </w:r>
      <w:r>
        <w:t>rezultāt</w:t>
      </w:r>
      <w:r w:rsidR="009A79F3">
        <w:t>i no ieguvumiem un izdevumiem</w:t>
      </w:r>
      <w:r>
        <w:t xml:space="preserve"> ir indeksēti 2018.gadam (</w:t>
      </w:r>
      <w:r w:rsidR="002D6E3E">
        <w:t>Ziņojuma izstrādes</w:t>
      </w:r>
      <w:r>
        <w:t xml:space="preserve"> gad</w:t>
      </w:r>
      <w:r w:rsidR="002D6E3E">
        <w:t>s</w:t>
      </w:r>
      <w:r>
        <w:t>).</w:t>
      </w:r>
    </w:p>
    <w:p w:rsidR="00A92359" w:rsidRPr="00FC53BA" w:rsidRDefault="00A92359" w:rsidP="00A92359">
      <w:pPr>
        <w:pStyle w:val="Bezatstarpm"/>
        <w:numPr>
          <w:ilvl w:val="0"/>
          <w:numId w:val="5"/>
        </w:numPr>
      </w:pPr>
      <w:r>
        <w:t>Aprēķin</w:t>
      </w:r>
      <w:r w:rsidR="002D6E3E">
        <w:t>u informācija</w:t>
      </w:r>
      <w:r>
        <w:t>:</w:t>
      </w:r>
    </w:p>
    <w:p w:rsidR="00BB7BCB" w:rsidRDefault="00BB7BCB" w:rsidP="00BB7BCB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BB7BCB">
        <w:t>A-Ieguvumi no tūrisma</w:t>
      </w:r>
      <w:r w:rsidR="002D6E3E">
        <w:t>”</w:t>
      </w:r>
      <w:r>
        <w:t xml:space="preserve"> tiek veikts </w:t>
      </w:r>
      <w:r w:rsidR="00A92359">
        <w:t>t</w:t>
      </w:r>
      <w:r>
        <w:t>ūrisma ekonomiskās ietekmes novērtējums: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Aprēķina potenciālo tūristu skaitu, kas ir apmeklējuši kultūrvides objektu. Tūristu skaitu aprēķina no apmeklētāju skaita starpības pirms projekta un pēc projekta, un no šīs starpības tiek izdalīt</w:t>
      </w:r>
      <w:r w:rsidR="002D6E3E">
        <w:t>i</w:t>
      </w:r>
      <w:r>
        <w:t xml:space="preserve"> tie apmeklētāji, kas ir kultūrvides objekta atrašanās vietas rezidenti (pašvaldības iedzīvotāji). Atlikusī daļa tiek pieņemti kā tūristi;</w:t>
      </w:r>
    </w:p>
    <w:p w:rsidR="007D4BDA" w:rsidRDefault="00BB7BCB" w:rsidP="007D4BDA">
      <w:pPr>
        <w:pStyle w:val="Bezatstarpm"/>
        <w:numPr>
          <w:ilvl w:val="2"/>
          <w:numId w:val="5"/>
        </w:numPr>
      </w:pPr>
      <w:r>
        <w:t xml:space="preserve">Aprēķina iespējamo vidējo izdevumu lielumu uz tūristu, kas apmeklēja kultūrvides objektu. </w:t>
      </w:r>
      <w:r w:rsidR="002D6E3E">
        <w:t>Aprēķinam i</w:t>
      </w:r>
      <w:r>
        <w:t xml:space="preserve">zmanto CSP datus un iedzīvotāju skaitu </w:t>
      </w:r>
      <w:r w:rsidR="002D6E3E">
        <w:t xml:space="preserve">projektam atbilstošajā </w:t>
      </w:r>
      <w:r>
        <w:t>pašvaldībā un reģionā</w:t>
      </w:r>
      <w:r w:rsidR="007D4BDA">
        <w:t xml:space="preserve"> </w:t>
      </w:r>
      <w:r w:rsidR="002D6E3E">
        <w:t xml:space="preserve">(CSP datubāze </w:t>
      </w:r>
      <w:r w:rsidR="007D4BDA" w:rsidRPr="007D4BDA">
        <w:rPr>
          <w:rFonts w:eastAsia="Calibri" w:cs="Arial"/>
          <w:i/>
        </w:rPr>
        <w:t xml:space="preserve">Latvijas iedzīvotāji, kas dodas vienas dienas braucienā pa Latviju </w:t>
      </w:r>
      <w:r w:rsidR="007D4BDA" w:rsidRPr="007D4BDA">
        <w:rPr>
          <w:rFonts w:eastAsia="Calibri" w:cs="Arial"/>
        </w:rPr>
        <w:t>konkrētajai pašvaldībai</w:t>
      </w:r>
      <w:r w:rsidR="002D6E3E">
        <w:rPr>
          <w:rFonts w:eastAsia="Calibri" w:cs="Arial"/>
        </w:rPr>
        <w:t>)</w:t>
      </w:r>
      <w:r w:rsidR="007D4BDA" w:rsidRPr="007D4BDA">
        <w:rPr>
          <w:rFonts w:eastAsia="Calibri" w:cs="Arial"/>
        </w:rPr>
        <w:t xml:space="preserve">. </w:t>
      </w:r>
      <w:r w:rsidR="002D6E3E">
        <w:rPr>
          <w:rFonts w:eastAsia="Calibri" w:cs="Arial"/>
        </w:rPr>
        <w:t xml:space="preserve">Tiek izmantota formula - </w:t>
      </w:r>
      <w:r w:rsidR="007D4BDA" w:rsidRPr="007D4BDA">
        <w:rPr>
          <w:rFonts w:eastAsia="Calibri" w:cs="Arial"/>
        </w:rPr>
        <w:t>[Iedzīvotāju skaits (pašvaldībā)]/[Iedzīvotāju skaits (reģionā)]</w:t>
      </w:r>
      <w:r w:rsidR="007D4BDA" w:rsidRPr="007D4BDA">
        <w:rPr>
          <w:rFonts w:eastAsia="Calibri" w:cs="Arial"/>
          <w:vertAlign w:val="superscript"/>
        </w:rPr>
        <w:footnoteReference w:id="1"/>
      </w:r>
      <w:r w:rsidR="007D4BDA" w:rsidRPr="007D4BDA">
        <w:rPr>
          <w:rFonts w:eastAsia="Calibri" w:cs="Arial"/>
        </w:rPr>
        <w:t xml:space="preserve"> x [Vienas dienas brauciena personas izdevumi reģionā (kultūrvides objektam), EUR]</w:t>
      </w:r>
      <w:r w:rsidR="007D4BDA">
        <w:rPr>
          <w:rFonts w:eastAsia="Calibri" w:cs="Arial"/>
        </w:rPr>
        <w:t xml:space="preserve">. </w:t>
      </w:r>
      <w:proofErr w:type="spellStart"/>
      <w:r w:rsidR="007D4BDA" w:rsidRPr="007D4BDA">
        <w:rPr>
          <w:rFonts w:eastAsia="Calibri" w:cs="Arial"/>
        </w:rPr>
        <w:t>D</w:t>
      </w:r>
      <w:r w:rsidR="007D4BDA">
        <w:rPr>
          <w:rFonts w:eastAsia="Calibri" w:cs="Arial"/>
        </w:rPr>
        <w:t>audzfunkcinālajiem</w:t>
      </w:r>
      <w:proofErr w:type="spellEnd"/>
      <w:r w:rsidR="007D4BDA">
        <w:rPr>
          <w:rFonts w:eastAsia="Calibri" w:cs="Arial"/>
        </w:rPr>
        <w:t xml:space="preserve"> centriem</w:t>
      </w:r>
      <w:r w:rsidR="007D4BDA" w:rsidRPr="007D4BDA">
        <w:rPr>
          <w:rFonts w:eastAsia="Calibri" w:cs="Arial"/>
        </w:rPr>
        <w:t xml:space="preserve"> apmeklētājiem-tūristiem tiek pieņemts, ka kopējais </w:t>
      </w:r>
      <w:r w:rsidR="002D6E3E">
        <w:rPr>
          <w:rFonts w:eastAsia="Calibri" w:cs="Arial"/>
        </w:rPr>
        <w:t>patēriņš</w:t>
      </w:r>
      <w:r w:rsidR="007D4BDA" w:rsidRPr="007D4BDA">
        <w:rPr>
          <w:rFonts w:eastAsia="Calibri" w:cs="Arial"/>
        </w:rPr>
        <w:t xml:space="preserve"> vienam apmeklētājam – tūristam </w:t>
      </w:r>
      <w:r w:rsidR="002D6E3E">
        <w:rPr>
          <w:rFonts w:eastAsia="Calibri" w:cs="Arial"/>
        </w:rPr>
        <w:t>veido</w:t>
      </w:r>
      <w:r w:rsidR="007D4BDA" w:rsidRPr="007D4BDA">
        <w:rPr>
          <w:rFonts w:eastAsia="Calibri" w:cs="Arial"/>
        </w:rPr>
        <w:t xml:space="preserve"> pilno vērtību no </w:t>
      </w:r>
      <w:r w:rsidR="002D6E3E">
        <w:rPr>
          <w:rFonts w:eastAsia="Calibri" w:cs="Arial"/>
        </w:rPr>
        <w:t xml:space="preserve">CSP datubāzes </w:t>
      </w:r>
      <w:r w:rsidR="007D4BDA" w:rsidRPr="002D6E3E">
        <w:rPr>
          <w:rFonts w:eastAsia="Calibri" w:cs="Arial"/>
          <w:i/>
        </w:rPr>
        <w:t>Vienas dienas brauciena</w:t>
      </w:r>
      <w:r w:rsidR="002D6E3E" w:rsidRPr="002D6E3E">
        <w:rPr>
          <w:rFonts w:eastAsia="Calibri" w:cs="Arial"/>
          <w:i/>
        </w:rPr>
        <w:t xml:space="preserve"> personas izdevumi reģionā, EUR</w:t>
      </w:r>
      <w:r w:rsidR="002D6E3E">
        <w:rPr>
          <w:rFonts w:eastAsia="Calibri" w:cs="Arial"/>
        </w:rPr>
        <w:t xml:space="preserve"> vērtības, jo daudzfunkcionālie centri piedāvā plašu tiešo un saistīto pakalpojumu klāstu, kas tūristam aizņem pilnu dienu;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Aprēķina ieņēmumus no kultūrvides objekta (bez dotācijām);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Aprēķina kopējos izdevumus, ko veica tūristi</w:t>
      </w:r>
      <w:r w:rsidR="002D6E3E">
        <w:t xml:space="preserve"> konkrētajā pašvaldībā</w:t>
      </w:r>
      <w:r>
        <w:t>, tai skaitā kultūrvides objektā;</w:t>
      </w:r>
    </w:p>
    <w:p w:rsidR="00BB7BCB" w:rsidRDefault="002D6E3E" w:rsidP="00BB7BCB">
      <w:pPr>
        <w:pStyle w:val="Bezatstarpm"/>
        <w:numPr>
          <w:ilvl w:val="2"/>
          <w:numId w:val="5"/>
        </w:numPr>
      </w:pPr>
      <w:r>
        <w:t>A</w:t>
      </w:r>
      <w:r w:rsidR="00BB7BCB">
        <w:t xml:space="preserve">prēķinu beigās iegūtie ienākumi </w:t>
      </w:r>
      <w:r>
        <w:t>veido</w:t>
      </w:r>
      <w:r w:rsidR="00BB7BCB">
        <w:t xml:space="preserve"> tiešo ietekmi no tūristiem. Tiešo ietekmi reizina ar netiešās ietekmes reizinātāju </w:t>
      </w:r>
      <w:r w:rsidR="00694A46">
        <w:t>0,76</w:t>
      </w:r>
      <w:r w:rsidR="00BB7BCB">
        <w:t>. Rezultātā iegūst kopējo ietekmi no tūrisma</w:t>
      </w:r>
      <w:r w:rsidR="00694A46">
        <w:t xml:space="preserve"> (summa tiešais un netiešai ietekmei kopā)</w:t>
      </w:r>
      <w:r w:rsidR="00BB7BCB">
        <w:t>, kas attiecināms uz konkrēto kultūrvides objektu.</w:t>
      </w:r>
    </w:p>
    <w:p w:rsidR="00BB7BCB" w:rsidRDefault="00BB7BCB" w:rsidP="00BB7BCB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BB7BCB">
        <w:t>A-</w:t>
      </w:r>
      <w:proofErr w:type="spellStart"/>
      <w:r w:rsidRPr="00BB7BCB">
        <w:t>Invest.ieguld.ietekme</w:t>
      </w:r>
      <w:proofErr w:type="spellEnd"/>
      <w:r>
        <w:t xml:space="preserve">” </w:t>
      </w:r>
      <w:r w:rsidR="00A92359">
        <w:t xml:space="preserve">tiek aprēķināta </w:t>
      </w:r>
      <w:r>
        <w:t>Investīciju ieguldījumu ietekme uz pārējiem tautsaimniecības subjektiem: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>Ekonomisko ieguvumu attiecina uz samaksāto apjomu neto darba algās</w:t>
      </w:r>
      <w:r w:rsidR="00A92359">
        <w:t>, kas ir tiešā ietekme no invest</w:t>
      </w:r>
      <w:r w:rsidR="002D6E3E">
        <w:t>īcijām reģiona ekonomi</w:t>
      </w:r>
      <w:r w:rsidR="00A92359">
        <w:t>k</w:t>
      </w:r>
      <w:r w:rsidR="002D6E3E">
        <w:t>ā</w:t>
      </w:r>
      <w:r w:rsidR="00A92359">
        <w:t xml:space="preserve">. </w:t>
      </w:r>
      <w:r w:rsidR="002D6E3E">
        <w:t>Š</w:t>
      </w:r>
      <w:r w:rsidR="00A92359">
        <w:t xml:space="preserve">ī vērtība tiek </w:t>
      </w:r>
      <w:r w:rsidR="002D6E3E">
        <w:t>reizināta</w:t>
      </w:r>
      <w:r w:rsidR="00A92359">
        <w:t xml:space="preserve"> ar netiešās ietekmes reizinātāju </w:t>
      </w:r>
      <w:r w:rsidR="00694A46">
        <w:t>1,16</w:t>
      </w:r>
      <w:r w:rsidR="00A92359">
        <w:t>. Rezultātā iegūst kopējo sociāli</w:t>
      </w:r>
      <w:r w:rsidR="002D6E3E">
        <w:t>-</w:t>
      </w:r>
      <w:r w:rsidR="00A92359">
        <w:t xml:space="preserve">ekonomisko ietekmi no investīcijām; </w:t>
      </w:r>
    </w:p>
    <w:p w:rsidR="00BB7BCB" w:rsidRDefault="00BB7BCB" w:rsidP="00BB7BCB">
      <w:pPr>
        <w:pStyle w:val="Bezatstarpm"/>
        <w:numPr>
          <w:ilvl w:val="2"/>
          <w:numId w:val="5"/>
        </w:numPr>
      </w:pPr>
      <w:r>
        <w:t xml:space="preserve">Tiešā nodarbinātības ietekme </w:t>
      </w:r>
      <w:r w:rsidR="002D6E3E">
        <w:t xml:space="preserve">ir </w:t>
      </w:r>
      <w:r>
        <w:t>aprēķināta, balstoties uz Lielbritānijas pētījum</w:t>
      </w:r>
      <w:r w:rsidR="002D6E3E">
        <w:t>a</w:t>
      </w:r>
      <w:r>
        <w:t xml:space="preserve"> </w:t>
      </w:r>
      <w:r w:rsidRPr="00A92359">
        <w:rPr>
          <w:i/>
        </w:rPr>
        <w:t>"</w:t>
      </w:r>
      <w:proofErr w:type="spellStart"/>
      <w:r w:rsidRPr="00A92359">
        <w:rPr>
          <w:i/>
        </w:rPr>
        <w:t>Calculating</w:t>
      </w:r>
      <w:proofErr w:type="spellEnd"/>
      <w:r w:rsidRPr="00A92359">
        <w:rPr>
          <w:i/>
        </w:rPr>
        <w:t xml:space="preserve"> </w:t>
      </w:r>
      <w:proofErr w:type="spellStart"/>
      <w:r w:rsidRPr="00A92359">
        <w:rPr>
          <w:i/>
        </w:rPr>
        <w:t>Cost</w:t>
      </w:r>
      <w:proofErr w:type="spellEnd"/>
      <w:r w:rsidRPr="00A92359">
        <w:rPr>
          <w:i/>
        </w:rPr>
        <w:t xml:space="preserve"> Per </w:t>
      </w:r>
      <w:proofErr w:type="spellStart"/>
      <w:r w:rsidRPr="00A92359">
        <w:rPr>
          <w:i/>
        </w:rPr>
        <w:t>Job</w:t>
      </w:r>
      <w:proofErr w:type="spellEnd"/>
      <w:r w:rsidRPr="00A92359">
        <w:rPr>
          <w:i/>
        </w:rPr>
        <w:t xml:space="preserve"> | </w:t>
      </w:r>
      <w:proofErr w:type="spellStart"/>
      <w:r w:rsidRPr="00A92359">
        <w:rPr>
          <w:i/>
        </w:rPr>
        <w:t>Best</w:t>
      </w:r>
      <w:proofErr w:type="spellEnd"/>
      <w:r w:rsidRPr="00A92359">
        <w:rPr>
          <w:i/>
        </w:rPr>
        <w:t xml:space="preserve"> </w:t>
      </w:r>
      <w:proofErr w:type="spellStart"/>
      <w:r w:rsidRPr="00A92359">
        <w:rPr>
          <w:i/>
        </w:rPr>
        <w:t>Practice</w:t>
      </w:r>
      <w:proofErr w:type="spellEnd"/>
      <w:r w:rsidRPr="00A92359">
        <w:rPr>
          <w:i/>
        </w:rPr>
        <w:t xml:space="preserve"> </w:t>
      </w:r>
      <w:proofErr w:type="spellStart"/>
      <w:r w:rsidRPr="00A92359">
        <w:rPr>
          <w:i/>
        </w:rPr>
        <w:t>Note</w:t>
      </w:r>
      <w:proofErr w:type="spellEnd"/>
      <w:r w:rsidRPr="00A92359">
        <w:rPr>
          <w:i/>
        </w:rPr>
        <w:t xml:space="preserve"> 2015 (3rd </w:t>
      </w:r>
      <w:proofErr w:type="spellStart"/>
      <w:r w:rsidRPr="00A92359">
        <w:rPr>
          <w:i/>
        </w:rPr>
        <w:t>Edition</w:t>
      </w:r>
      <w:proofErr w:type="spellEnd"/>
      <w:r w:rsidRPr="00A92359">
        <w:rPr>
          <w:i/>
        </w:rPr>
        <w:t>)"</w:t>
      </w:r>
      <w:r w:rsidR="00A92359">
        <w:t xml:space="preserve"> datiem par </w:t>
      </w:r>
      <w:r w:rsidR="002D6E3E">
        <w:t>korelāciju</w:t>
      </w:r>
      <w:r w:rsidR="00A92359">
        <w:t xml:space="preserve"> star</w:t>
      </w:r>
      <w:r w:rsidR="002D6E3E">
        <w:t>p nodarbinātību un investīcijām.</w:t>
      </w:r>
    </w:p>
    <w:p w:rsidR="00A92359" w:rsidRDefault="00A92359" w:rsidP="00A92359">
      <w:pPr>
        <w:pStyle w:val="Bezatstarpm"/>
        <w:numPr>
          <w:ilvl w:val="1"/>
          <w:numId w:val="5"/>
        </w:numPr>
      </w:pPr>
      <w:r>
        <w:t>Lap</w:t>
      </w:r>
      <w:r w:rsidR="002D6E3E">
        <w:t>ā</w:t>
      </w:r>
      <w:r>
        <w:t xml:space="preserve"> „</w:t>
      </w:r>
      <w:r w:rsidRPr="00A92359">
        <w:t>A-</w:t>
      </w:r>
      <w:proofErr w:type="spellStart"/>
      <w:r w:rsidRPr="00A92359">
        <w:t>Nodarb.pieauguma.ietekme</w:t>
      </w:r>
      <w:proofErr w:type="spellEnd"/>
      <w:r>
        <w:t>” tiek aprēķināta ietekme uz pašvaldības un valsts budžetu no jaunradītajām darba vietām:</w:t>
      </w:r>
    </w:p>
    <w:p w:rsidR="00A92359" w:rsidRDefault="00A92359" w:rsidP="00A92359">
      <w:pPr>
        <w:pStyle w:val="Bezatstarpm"/>
        <w:numPr>
          <w:ilvl w:val="2"/>
          <w:numId w:val="5"/>
        </w:numPr>
      </w:pPr>
      <w:r>
        <w:t>Tiek noteiktas jaunradītās darba vietas (arī nepilnas noslodzes) no projekta;</w:t>
      </w:r>
    </w:p>
    <w:p w:rsidR="00A92359" w:rsidRDefault="00A92359" w:rsidP="00A92359">
      <w:pPr>
        <w:pStyle w:val="Bezatstarpm"/>
        <w:numPr>
          <w:ilvl w:val="2"/>
          <w:numId w:val="5"/>
        </w:numPr>
      </w:pPr>
      <w:r>
        <w:t>Tiek aprēķināts iegūtais ienākuma nodoklis pašvaldības budžetā no jaunradītajām darba vietām;</w:t>
      </w:r>
    </w:p>
    <w:p w:rsidR="00A92359" w:rsidRDefault="00A92359" w:rsidP="00A92359">
      <w:pPr>
        <w:pStyle w:val="Bezatstarpm"/>
        <w:numPr>
          <w:ilvl w:val="2"/>
          <w:numId w:val="5"/>
        </w:numPr>
      </w:pPr>
      <w:r>
        <w:t>Tiek aprēķināti iegūtie nodokļi valsts budžetā no jaunradītajām darba vietām;</w:t>
      </w:r>
    </w:p>
    <w:p w:rsidR="00A92359" w:rsidRDefault="00A92359" w:rsidP="003235D9">
      <w:pPr>
        <w:pStyle w:val="Bezatstarpm"/>
        <w:numPr>
          <w:ilvl w:val="1"/>
          <w:numId w:val="5"/>
        </w:numPr>
      </w:pPr>
      <w:r>
        <w:lastRenderedPageBreak/>
        <w:t>Lap</w:t>
      </w:r>
      <w:r w:rsidR="002D6E3E">
        <w:t>ā</w:t>
      </w:r>
      <w:r>
        <w:t xml:space="preserve"> „</w:t>
      </w:r>
      <w:r w:rsidRPr="00A92359">
        <w:t>A-Ietekme uz citu nozaru uzņ.</w:t>
      </w:r>
      <w:r>
        <w:t xml:space="preserve">” </w:t>
      </w:r>
      <w:r w:rsidR="002D6E3E">
        <w:t>ir aprēķināta n</w:t>
      </w:r>
      <w:r>
        <w:t>etiešā ietekme uz citu nozaru uzņēmumiem - tiek aprēķināta ietekme no kultūras institūcijām uz citu uzņēmumu ienākumiem par iegādātajām materiālajām vērtībām un pakalpojumiem</w:t>
      </w:r>
      <w:r w:rsidR="003235D9">
        <w:t>.</w:t>
      </w:r>
    </w:p>
    <w:p w:rsidR="00A92359" w:rsidRPr="00FC53BA" w:rsidRDefault="00A92359" w:rsidP="00A92359">
      <w:pPr>
        <w:pStyle w:val="Bezatstarpm"/>
        <w:numPr>
          <w:ilvl w:val="0"/>
          <w:numId w:val="5"/>
        </w:numPr>
      </w:pPr>
      <w:r>
        <w:t>Rezultāt</w:t>
      </w:r>
      <w:r w:rsidR="003235D9">
        <w:t>u informācija</w:t>
      </w:r>
      <w:r>
        <w:t>:</w:t>
      </w:r>
    </w:p>
    <w:p w:rsidR="00A92359" w:rsidRDefault="00A92359" w:rsidP="00A92359">
      <w:pPr>
        <w:pStyle w:val="Bezatstarpm"/>
        <w:numPr>
          <w:ilvl w:val="1"/>
          <w:numId w:val="5"/>
        </w:numPr>
      </w:pPr>
      <w:r>
        <w:t>Lap</w:t>
      </w:r>
      <w:r w:rsidR="003235D9">
        <w:t>ā</w:t>
      </w:r>
      <w:r>
        <w:t xml:space="preserve"> „</w:t>
      </w:r>
      <w:r w:rsidRPr="00A92359">
        <w:t>R-Kopsavilkuma tabulas</w:t>
      </w:r>
      <w:r>
        <w:t xml:space="preserve">” </w:t>
      </w:r>
      <w:r w:rsidR="003235D9">
        <w:t>tabulu veidā atainota</w:t>
      </w:r>
      <w:r>
        <w:t xml:space="preserve"> </w:t>
      </w:r>
      <w:r w:rsidR="003235D9">
        <w:t xml:space="preserve">sociāli-ekonomiskajā analīzē izmantotā </w:t>
      </w:r>
      <w:r>
        <w:t>informācija</w:t>
      </w:r>
      <w:r w:rsidR="003235D9">
        <w:t>.</w:t>
      </w:r>
    </w:p>
    <w:p w:rsidR="00A92359" w:rsidRDefault="00A92359" w:rsidP="00A92359">
      <w:pPr>
        <w:pStyle w:val="Bezatstarpm"/>
        <w:numPr>
          <w:ilvl w:val="1"/>
          <w:numId w:val="5"/>
        </w:numPr>
      </w:pPr>
      <w:r>
        <w:t>Lap</w:t>
      </w:r>
      <w:r w:rsidR="003235D9">
        <w:t>ā</w:t>
      </w:r>
      <w:r>
        <w:t xml:space="preserve"> „</w:t>
      </w:r>
      <w:r w:rsidRPr="00A92359">
        <w:t>R-Rādītāji -NPV-IRR-BC</w:t>
      </w:r>
      <w:r>
        <w:t xml:space="preserve">” </w:t>
      </w:r>
      <w:r w:rsidR="003235D9">
        <w:t>aprēķinātas</w:t>
      </w:r>
      <w:r>
        <w:t xml:space="preserve"> sociāli</w:t>
      </w:r>
      <w:r w:rsidR="003235D9">
        <w:t>-</w:t>
      </w:r>
      <w:r>
        <w:t>ekonomisko rezultātu vērtības</w:t>
      </w:r>
      <w:r w:rsidR="003235D9">
        <w:t>.</w:t>
      </w:r>
    </w:p>
    <w:p w:rsidR="00A92359" w:rsidRDefault="00A92359" w:rsidP="00A92359">
      <w:pPr>
        <w:pStyle w:val="Bezatstarpm"/>
        <w:numPr>
          <w:ilvl w:val="1"/>
          <w:numId w:val="5"/>
        </w:numPr>
      </w:pPr>
      <w:r>
        <w:t>Lap</w:t>
      </w:r>
      <w:r w:rsidR="003235D9">
        <w:t>ā</w:t>
      </w:r>
      <w:r>
        <w:t xml:space="preserve"> „</w:t>
      </w:r>
      <w:r w:rsidRPr="00A92359">
        <w:t>R-Vizītkarte</w:t>
      </w:r>
      <w:r>
        <w:t xml:space="preserve">” atspoguļota </w:t>
      </w:r>
      <w:r w:rsidR="003235D9">
        <w:t>informācija par projektu kopumā, kas iekļauta 8. pielikumā “Projektu vizītkartes”.</w:t>
      </w:r>
      <w:bookmarkEnd w:id="0"/>
    </w:p>
    <w:sectPr w:rsidR="00A92359" w:rsidSect="00490E9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BCB" w:rsidRDefault="00BB7BCB" w:rsidP="000A6B01">
      <w:pPr>
        <w:spacing w:after="0" w:line="240" w:lineRule="auto"/>
      </w:pPr>
      <w:r>
        <w:separator/>
      </w:r>
    </w:p>
  </w:endnote>
  <w:endnote w:type="continuationSeparator" w:id="0">
    <w:p w:rsidR="00BB7BCB" w:rsidRDefault="00BB7BCB" w:rsidP="000A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BA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BCB" w:rsidRDefault="00BB7BCB" w:rsidP="000A6B01">
      <w:pPr>
        <w:spacing w:after="0" w:line="240" w:lineRule="auto"/>
      </w:pPr>
      <w:r>
        <w:separator/>
      </w:r>
    </w:p>
  </w:footnote>
  <w:footnote w:type="continuationSeparator" w:id="0">
    <w:p w:rsidR="00BB7BCB" w:rsidRDefault="00BB7BCB" w:rsidP="000A6B01">
      <w:pPr>
        <w:spacing w:after="0" w:line="240" w:lineRule="auto"/>
      </w:pPr>
      <w:r>
        <w:continuationSeparator/>
      </w:r>
    </w:p>
  </w:footnote>
  <w:footnote w:id="1">
    <w:p w:rsidR="007D4BDA" w:rsidRPr="00BF0A76" w:rsidRDefault="007D4BDA" w:rsidP="007D4BDA">
      <w:pPr>
        <w:pStyle w:val="Kjene1"/>
        <w:rPr>
          <w:rFonts w:ascii="Segoe UI" w:eastAsia="Calibri" w:hAnsi="Segoe UI" w:cs="Arial"/>
          <w:szCs w:val="18"/>
          <w:lang w:eastAsia="en-US"/>
        </w:rPr>
      </w:pPr>
      <w:r w:rsidRPr="00D717FE">
        <w:rPr>
          <w:rStyle w:val="Vresatsauce"/>
          <w:rFonts w:eastAsiaTheme="minorEastAsia"/>
        </w:rPr>
        <w:footnoteRef/>
      </w:r>
      <w:r w:rsidRPr="00D717FE">
        <w:t xml:space="preserve"> </w:t>
      </w:r>
      <w:r w:rsidRPr="00D717FE">
        <w:rPr>
          <w:rFonts w:eastAsia="Calibri"/>
        </w:rPr>
        <w:t>ISG020. Iedzīvotāju skaits un tā izmaiņas statistiskajos reģionos, republikas pilsētās, novadu pilsētās un novados; CSP datubāze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16727"/>
    <w:multiLevelType w:val="hybridMultilevel"/>
    <w:tmpl w:val="DD12AD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C2F19"/>
    <w:multiLevelType w:val="hybridMultilevel"/>
    <w:tmpl w:val="092C2A4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17">
      <w:start w:val="1"/>
      <w:numFmt w:val="lowerLetter"/>
      <w:lvlText w:val="%4)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F69CC"/>
    <w:multiLevelType w:val="hybridMultilevel"/>
    <w:tmpl w:val="0A0A947A"/>
    <w:lvl w:ilvl="0" w:tplc="04260017">
      <w:start w:val="1"/>
      <w:numFmt w:val="lowerLetter"/>
      <w:lvlText w:val="%1)"/>
      <w:lvlJc w:val="left"/>
      <w:pPr>
        <w:ind w:left="2880" w:hanging="360"/>
      </w:pPr>
    </w:lvl>
    <w:lvl w:ilvl="1" w:tplc="04260019" w:tentative="1">
      <w:start w:val="1"/>
      <w:numFmt w:val="lowerLetter"/>
      <w:lvlText w:val="%2."/>
      <w:lvlJc w:val="left"/>
      <w:pPr>
        <w:ind w:left="3600" w:hanging="360"/>
      </w:pPr>
    </w:lvl>
    <w:lvl w:ilvl="2" w:tplc="0426001B" w:tentative="1">
      <w:start w:val="1"/>
      <w:numFmt w:val="lowerRoman"/>
      <w:lvlText w:val="%3."/>
      <w:lvlJc w:val="right"/>
      <w:pPr>
        <w:ind w:left="4320" w:hanging="180"/>
      </w:pPr>
    </w:lvl>
    <w:lvl w:ilvl="3" w:tplc="0426000F" w:tentative="1">
      <w:start w:val="1"/>
      <w:numFmt w:val="decimal"/>
      <w:lvlText w:val="%4."/>
      <w:lvlJc w:val="left"/>
      <w:pPr>
        <w:ind w:left="5040" w:hanging="360"/>
      </w:pPr>
    </w:lvl>
    <w:lvl w:ilvl="4" w:tplc="04260019" w:tentative="1">
      <w:start w:val="1"/>
      <w:numFmt w:val="lowerLetter"/>
      <w:lvlText w:val="%5."/>
      <w:lvlJc w:val="left"/>
      <w:pPr>
        <w:ind w:left="5760" w:hanging="360"/>
      </w:pPr>
    </w:lvl>
    <w:lvl w:ilvl="5" w:tplc="0426001B" w:tentative="1">
      <w:start w:val="1"/>
      <w:numFmt w:val="lowerRoman"/>
      <w:lvlText w:val="%6."/>
      <w:lvlJc w:val="right"/>
      <w:pPr>
        <w:ind w:left="6480" w:hanging="180"/>
      </w:pPr>
    </w:lvl>
    <w:lvl w:ilvl="6" w:tplc="0426000F" w:tentative="1">
      <w:start w:val="1"/>
      <w:numFmt w:val="decimal"/>
      <w:lvlText w:val="%7."/>
      <w:lvlJc w:val="left"/>
      <w:pPr>
        <w:ind w:left="7200" w:hanging="360"/>
      </w:pPr>
    </w:lvl>
    <w:lvl w:ilvl="7" w:tplc="04260019" w:tentative="1">
      <w:start w:val="1"/>
      <w:numFmt w:val="lowerLetter"/>
      <w:lvlText w:val="%8."/>
      <w:lvlJc w:val="left"/>
      <w:pPr>
        <w:ind w:left="7920" w:hanging="360"/>
      </w:pPr>
    </w:lvl>
    <w:lvl w:ilvl="8" w:tplc="0426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5AB35D6E"/>
    <w:multiLevelType w:val="hybridMultilevel"/>
    <w:tmpl w:val="2848948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016AE"/>
    <w:multiLevelType w:val="hybridMultilevel"/>
    <w:tmpl w:val="AC9421EC"/>
    <w:lvl w:ilvl="0" w:tplc="CE2E554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0F22EE"/>
    <w:multiLevelType w:val="hybridMultilevel"/>
    <w:tmpl w:val="8F30BDD2"/>
    <w:lvl w:ilvl="0" w:tplc="80B40E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82465"/>
    <w:multiLevelType w:val="hybridMultilevel"/>
    <w:tmpl w:val="C748BA00"/>
    <w:lvl w:ilvl="0" w:tplc="680C00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9AD"/>
    <w:rsid w:val="000A6B01"/>
    <w:rsid w:val="000E61BC"/>
    <w:rsid w:val="0015774E"/>
    <w:rsid w:val="001A5763"/>
    <w:rsid w:val="001C3A29"/>
    <w:rsid w:val="001E4026"/>
    <w:rsid w:val="002939AD"/>
    <w:rsid w:val="002D6E3E"/>
    <w:rsid w:val="003235D9"/>
    <w:rsid w:val="00453576"/>
    <w:rsid w:val="00471B17"/>
    <w:rsid w:val="00490E98"/>
    <w:rsid w:val="004E42D3"/>
    <w:rsid w:val="004E5A5F"/>
    <w:rsid w:val="00543B51"/>
    <w:rsid w:val="00694A46"/>
    <w:rsid w:val="007D4BDA"/>
    <w:rsid w:val="008B10F8"/>
    <w:rsid w:val="009A79F3"/>
    <w:rsid w:val="009C1302"/>
    <w:rsid w:val="00A92359"/>
    <w:rsid w:val="00B178CF"/>
    <w:rsid w:val="00BB7BCB"/>
    <w:rsid w:val="00C30F9F"/>
    <w:rsid w:val="00C677D8"/>
    <w:rsid w:val="00C9572D"/>
    <w:rsid w:val="00D85DDD"/>
    <w:rsid w:val="00DE3D06"/>
    <w:rsid w:val="00EF44F6"/>
    <w:rsid w:val="00F943DA"/>
    <w:rsid w:val="00FC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ai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ai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ai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ai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table" w:customStyle="1" w:styleId="ListTable6Colorful-Accent11">
    <w:name w:val="List Table 6 Colorful - Accent 11"/>
    <w:basedOn w:val="Parastatabula"/>
    <w:uiPriority w:val="51"/>
    <w:rsid w:val="009C130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Bezatstarpm">
    <w:name w:val="No Spacing"/>
    <w:uiPriority w:val="1"/>
    <w:qFormat/>
    <w:rsid w:val="00543B51"/>
    <w:pPr>
      <w:spacing w:after="0" w:line="240" w:lineRule="auto"/>
      <w:jc w:val="both"/>
    </w:pPr>
    <w:rPr>
      <w:rFonts w:ascii="Arial" w:hAnsi="Arial"/>
    </w:rPr>
  </w:style>
  <w:style w:type="character" w:styleId="Komentraatsauce">
    <w:name w:val="annotation reference"/>
    <w:basedOn w:val="Noklusjumarindkopasfonts"/>
    <w:uiPriority w:val="99"/>
    <w:semiHidden/>
    <w:unhideWhenUsed/>
    <w:rsid w:val="00BB7BCB"/>
    <w:rPr>
      <w:sz w:val="16"/>
      <w:szCs w:val="16"/>
    </w:rPr>
  </w:style>
  <w:style w:type="paragraph" w:styleId="Komentrateksts">
    <w:name w:val="annotation text"/>
    <w:basedOn w:val="Parastais"/>
    <w:link w:val="KomentratekstsRakstz"/>
    <w:uiPriority w:val="99"/>
    <w:semiHidden/>
    <w:unhideWhenUsed/>
    <w:rsid w:val="00BB7BCB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BB7BCB"/>
    <w:rPr>
      <w:rFonts w:ascii="Arial" w:hAnsi="Arial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BB7BCB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BB7BCB"/>
    <w:rPr>
      <w:rFonts w:ascii="Arial" w:hAnsi="Arial"/>
      <w:b/>
      <w:bCs/>
      <w:sz w:val="20"/>
      <w:szCs w:val="20"/>
    </w:rPr>
  </w:style>
  <w:style w:type="paragraph" w:styleId="Balonteksts">
    <w:name w:val="Balloon Text"/>
    <w:basedOn w:val="Parastais"/>
    <w:link w:val="BalontekstsRakstz"/>
    <w:uiPriority w:val="99"/>
    <w:semiHidden/>
    <w:unhideWhenUsed/>
    <w:rsid w:val="00BB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BB7BCB"/>
    <w:rPr>
      <w:rFonts w:ascii="Tahoma" w:hAnsi="Tahoma" w:cs="Tahoma"/>
      <w:sz w:val="16"/>
      <w:szCs w:val="16"/>
    </w:rPr>
  </w:style>
  <w:style w:type="character" w:styleId="Vresatsauce">
    <w:name w:val="footnote reference"/>
    <w:aliases w:val="Footnote symbol,4_G,Footnotes refss,Appel note de bas de p.,Appel note de bas de p,Footnote Reference Number,fr,Fussnota,stylish,Footnote Refernece,BVI fnr,Fußnotenzeichen_Raxen,callout,-E Fußnotenzeichen,SUPERS,ftref,Times 10 Point"/>
    <w:basedOn w:val="Noklusjumarindkopasfonts"/>
    <w:link w:val="Char2"/>
    <w:uiPriority w:val="99"/>
    <w:rsid w:val="007D4BDA"/>
    <w:rPr>
      <w:rFonts w:cs="Times New Roman"/>
      <w:vertAlign w:val="superscript"/>
    </w:rPr>
  </w:style>
  <w:style w:type="paragraph" w:customStyle="1" w:styleId="Char2">
    <w:name w:val="Char2"/>
    <w:basedOn w:val="Parastais"/>
    <w:next w:val="Parastais"/>
    <w:link w:val="Vresatsauce"/>
    <w:uiPriority w:val="99"/>
    <w:rsid w:val="007D4BDA"/>
    <w:pPr>
      <w:spacing w:after="120" w:line="240" w:lineRule="exact"/>
      <w:ind w:firstLine="567"/>
      <w:textAlignment w:val="baseline"/>
    </w:pPr>
    <w:rPr>
      <w:rFonts w:asciiTheme="minorHAnsi" w:hAnsiTheme="minorHAnsi" w:cs="Times New Roman"/>
      <w:vertAlign w:val="superscript"/>
    </w:rPr>
  </w:style>
  <w:style w:type="paragraph" w:customStyle="1" w:styleId="Kjene1">
    <w:name w:val="Kājene1"/>
    <w:basedOn w:val="Vresteksts"/>
    <w:link w:val="KjeneChar"/>
    <w:qFormat/>
    <w:rsid w:val="007D4BDA"/>
    <w:pPr>
      <w:widowControl w:val="0"/>
      <w:autoSpaceDE w:val="0"/>
      <w:autoSpaceDN w:val="0"/>
      <w:adjustRightInd w:val="0"/>
      <w:spacing w:line="276" w:lineRule="auto"/>
    </w:pPr>
    <w:rPr>
      <w:rFonts w:eastAsia="Times New Roman" w:cs="Times New Roman"/>
      <w:i/>
      <w:color w:val="7B7B7B"/>
      <w:sz w:val="18"/>
      <w:lang w:eastAsia="lv-LV"/>
    </w:rPr>
  </w:style>
  <w:style w:type="character" w:customStyle="1" w:styleId="KjeneChar">
    <w:name w:val="Kājene Char"/>
    <w:basedOn w:val="Noklusjumarindkopasfonts"/>
    <w:link w:val="Kjene1"/>
    <w:rsid w:val="007D4BDA"/>
    <w:rPr>
      <w:rFonts w:ascii="Arial" w:eastAsia="Times New Roman" w:hAnsi="Arial" w:cs="Times New Roman"/>
      <w:i/>
      <w:color w:val="7B7B7B"/>
      <w:sz w:val="18"/>
      <w:szCs w:val="20"/>
      <w:lang w:eastAsia="lv-LV"/>
    </w:rPr>
  </w:style>
  <w:style w:type="paragraph" w:styleId="Vresteksts">
    <w:name w:val="footnote text"/>
    <w:basedOn w:val="Parastais"/>
    <w:link w:val="VrestekstsRakstz"/>
    <w:uiPriority w:val="99"/>
    <w:semiHidden/>
    <w:unhideWhenUsed/>
    <w:rsid w:val="007D4BDA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7D4BDA"/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List Paragraph Char"/>
    <w:aliases w:val="H&amp;P List Paragraph Char,2 Char,Strip Char,Colorful List - Accent 12 Char,Normal bullet 2 Char,Bullet list Char,Numbered List Char,List Paragraph1 Char,1st level - Bullet List Paragraph Char,Lettre d'introduction Char,Paragraph Char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Header Char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Footer Char"/>
    <w:basedOn w:val="Noklusjumarindkopasfonts"/>
    <w:link w:val="Kjene"/>
    <w:uiPriority w:val="99"/>
    <w:rsid w:val="000A6B01"/>
    <w:rPr>
      <w:rFonts w:ascii="Arial" w:hAnsi="Arial"/>
    </w:rPr>
  </w:style>
  <w:style w:type="table" w:customStyle="1" w:styleId="ListTable6Colorful-Accent11">
    <w:name w:val="List Table 6 Colorful - Accent 11"/>
    <w:basedOn w:val="Parastatabula"/>
    <w:uiPriority w:val="51"/>
    <w:rsid w:val="009C130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Bezatstarpm">
    <w:name w:val="No Spacing"/>
    <w:uiPriority w:val="1"/>
    <w:qFormat/>
    <w:rsid w:val="00543B51"/>
    <w:pPr>
      <w:spacing w:after="0" w:line="240" w:lineRule="auto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75961B9-8B13-4D21-906E-835BAC1E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3570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Zanda Jansone</dc:creator>
  <cp:keywords/>
  <dc:description/>
  <cp:lastModifiedBy>Aigars</cp:lastModifiedBy>
  <cp:revision>16</cp:revision>
  <dcterms:created xsi:type="dcterms:W3CDTF">2019-01-08T09:47:00Z</dcterms:created>
  <dcterms:modified xsi:type="dcterms:W3CDTF">2019-02-06T14:00:00Z</dcterms:modified>
</cp:coreProperties>
</file>